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bookmarkStart w:id="1" w:name="_GoBack"/>
      <w:bookmarkEnd w:id="1"/>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广州凯能电器科技有限公司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广东中科鸿捷环保科技有限公司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湖南科友环保有限公司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z w:val="24"/>
        </w:rPr>
      </w:pPr>
      <w:r>
        <w:rPr>
          <w:rFonts w:hint="eastAsia" w:ascii="宋体" w:hAnsi="宋体"/>
          <w:sz w:val="24"/>
        </w:rPr>
        <w:t>广州晟启能源设备有限公司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sz w:val="24"/>
        </w:rPr>
      </w:pPr>
      <w:r>
        <w:rPr>
          <w:rFonts w:hint="eastAsia" w:ascii="宋体" w:hAnsi="宋体" w:cs="宋体"/>
          <w:spacing w:val="8"/>
          <w:sz w:val="24"/>
          <w:shd w:val="clear" w:color="070000" w:fill="FFFFFF"/>
        </w:rPr>
        <w:t xml:space="preserve">苏伊士水务技术(上海)有限公司 </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ascii="宋体" w:hAnsi="宋体" w:cs="Arial"/>
          <w:sz w:val="24"/>
        </w:rPr>
      </w:pPr>
      <w:r>
        <w:rPr>
          <w:rFonts w:hint="eastAsia" w:ascii="宋体" w:hAnsi="宋体" w:cs="Arial"/>
          <w:sz w:val="24"/>
        </w:rPr>
        <w:t xml:space="preserve">杭州楚环科技股份有限公司 </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ascii="宋体" w:hAnsi="宋体"/>
          <w:sz w:val="24"/>
        </w:rPr>
      </w:pPr>
      <w:r>
        <w:rPr>
          <w:rFonts w:hint="eastAsia" w:ascii="宋体" w:hAnsi="宋体"/>
          <w:sz w:val="24"/>
        </w:rPr>
        <w:t>中规院（北京）规划设计公司生态市政院</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spacing w:line="480" w:lineRule="auto"/>
        <w:rPr>
          <w:rFonts w:hint="default" w:ascii="宋体" w:hAnsi="宋体"/>
          <w:sz w:val="24"/>
        </w:rPr>
      </w:pPr>
      <w:r>
        <w:rPr>
          <w:rFonts w:hint="default" w:ascii="宋体" w:hAnsi="宋体"/>
          <w:sz w:val="24"/>
        </w:rPr>
        <w:t>苏伊士集团</w:t>
      </w:r>
    </w:p>
    <w:p>
      <w:pPr>
        <w:spacing w:line="480" w:lineRule="auto"/>
        <w:rPr>
          <w:rFonts w:hint="eastAsia" w:ascii="宋体" w:hAnsi="宋体"/>
          <w:sz w:val="24"/>
        </w:rPr>
      </w:pPr>
      <w:r>
        <w:rPr>
          <w:rFonts w:hint="eastAsia" w:ascii="宋体" w:hAnsi="宋体"/>
          <w:sz w:val="24"/>
        </w:rPr>
        <w:t>上海昊沧系统控制技术有限责任公司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eastAsia="zh-CN"/>
        </w:rPr>
        <w:t>、扬州大学环境科学与工程学院</w:t>
      </w:r>
      <w:r>
        <w:rPr>
          <w:rFonts w:hint="eastAsia" w:ascii="宋体" w:hAnsi="宋体"/>
          <w:kern w:val="0"/>
          <w:sz w:val="24"/>
          <w:lang w:val="en-US" w:eastAsia="zh-CN"/>
        </w:rPr>
        <w:t xml:space="preserve"> </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大会征稿主题（9月2</w:t>
      </w:r>
      <w:r>
        <w:rPr>
          <w:rFonts w:hint="eastAsia" w:ascii="宋体" w:hAnsi="宋体" w:cs="宋体"/>
          <w:b/>
          <w:bCs/>
          <w:sz w:val="24"/>
          <w:lang w:val="en-US" w:eastAsia="zh-CN"/>
        </w:rPr>
        <w:t>3</w:t>
      </w:r>
      <w:r>
        <w:rPr>
          <w:rFonts w:hint="eastAsia" w:ascii="宋体" w:hAnsi="宋体" w:cs="宋体"/>
          <w:b/>
          <w:bCs/>
          <w:sz w:val="24"/>
        </w:rPr>
        <w:t>日截稿）</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赛莱默(中国)有限公司周晟技术解决方案经理</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高效沉淀池改造为磁混凝沉淀池的案例应用与分析  </w:t>
      </w:r>
    </w:p>
    <w:p>
      <w:pPr>
        <w:spacing w:line="480" w:lineRule="auto"/>
        <w:rPr>
          <w:rFonts w:ascii="宋体" w:hAnsi="宋体"/>
          <w:b/>
          <w:sz w:val="24"/>
        </w:rPr>
      </w:pPr>
      <w:r>
        <w:rPr>
          <w:rFonts w:hint="eastAsia" w:ascii="宋体" w:hAnsi="宋体"/>
          <w:b/>
          <w:sz w:val="24"/>
        </w:rPr>
        <w:t>报告人：青岛洛克环保科技有限公司 霍槐槐董事长</w:t>
      </w:r>
    </w:p>
    <w:p>
      <w:pPr>
        <w:spacing w:line="480" w:lineRule="auto"/>
        <w:rPr>
          <w:rFonts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设计和运营综合指南.本文介绍了在制定指南之前,一些潜在的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w:t>
      </w:r>
      <w:r>
        <w:rPr>
          <w:rFonts w:hint="eastAsia" w:cs="宋体"/>
          <w:b w:val="0"/>
          <w:kern w:val="0"/>
          <w:sz w:val="24"/>
          <w:szCs w:val="24"/>
          <w:lang w:val="en-US" w:eastAsia="zh-CN"/>
        </w:rPr>
        <w:t xml:space="preserve"> </w:t>
      </w:r>
      <w:r>
        <w:rPr>
          <w:rFonts w:cs="宋体"/>
          <w:b w:val="0"/>
          <w:kern w:val="0"/>
          <w:sz w:val="24"/>
          <w:szCs w:val="24"/>
        </w:rPr>
        <w:t>梁硕</w:t>
      </w:r>
      <w:r>
        <w:rPr>
          <w:rFonts w:hint="eastAsia" w:cs="宋体"/>
          <w:b w:val="0"/>
          <w:kern w:val="0"/>
          <w:sz w:val="24"/>
          <w:szCs w:val="24"/>
        </w:rPr>
        <w:t xml:space="preserve">  工艺工程师</w:t>
      </w:r>
    </w:p>
    <w:p>
      <w:pPr>
        <w:widowControl/>
        <w:spacing w:line="480" w:lineRule="auto"/>
        <w:jc w:val="left"/>
        <w:rPr>
          <w:rFonts w:ascii="宋体" w:hAnsi="宋体"/>
          <w:b w:val="0"/>
          <w:sz w:val="24"/>
        </w:rPr>
      </w:pPr>
      <w:r>
        <w:rPr>
          <w:rFonts w:hint="eastAsia" w:ascii="宋体" w:hAnsi="宋体"/>
          <w:b w:val="0"/>
          <w:sz w:val="24"/>
        </w:rPr>
        <w:t>题  目：</w:t>
      </w:r>
      <w:r>
        <w:rPr>
          <w:rFonts w:hint="eastAsia"/>
          <w:b w:val="0"/>
          <w:sz w:val="24"/>
        </w:rPr>
        <w:t xml:space="preserve">新形势下提标改造 </w:t>
      </w:r>
      <w:r>
        <w:rPr>
          <w:rFonts w:hint="eastAsia"/>
          <w:b w:val="0"/>
          <w:sz w:val="24"/>
          <w:lang w:eastAsia="zh-CN"/>
        </w:rPr>
        <w:t>、</w:t>
      </w:r>
      <w:r>
        <w:rPr>
          <w:rFonts w:hint="eastAsia"/>
          <w:b w:val="0"/>
          <w:sz w:val="24"/>
        </w:rPr>
        <w:t>流域治理技术服务实践与展望</w:t>
      </w:r>
      <w:r>
        <w:rPr>
          <w:rFonts w:hint="eastAsia"/>
          <w:b w:val="0"/>
          <w:sz w:val="24"/>
          <w:lang w:eastAsia="zh-CN"/>
        </w:rPr>
        <w:t>（</w:t>
      </w:r>
      <w:r>
        <w:rPr>
          <w:rFonts w:hint="eastAsia"/>
          <w:b w:val="0"/>
          <w:sz w:val="24"/>
          <w:lang w:val="en-US" w:eastAsia="zh-CN"/>
        </w:rPr>
        <w:t>2020</w:t>
      </w:r>
      <w:r>
        <w:rPr>
          <w:rFonts w:hint="eastAsia"/>
          <w:b w:val="0"/>
          <w:sz w:val="24"/>
          <w:lang w:eastAsia="zh-CN"/>
        </w:rPr>
        <w:t>）</w:t>
      </w:r>
      <w:r>
        <w:rPr>
          <w:rFonts w:hint="eastAsia"/>
          <w:b w:val="0"/>
          <w:sz w:val="24"/>
        </w:rPr>
        <w:t xml:space="preserve"> </w:t>
      </w:r>
    </w:p>
    <w:p>
      <w:pPr>
        <w:pStyle w:val="2"/>
        <w:shd w:val="clear" w:color="auto" w:fill="FFFFFF"/>
        <w:spacing w:before="0" w:beforeAutospacing="0" w:after="0" w:afterAutospacing="0" w:line="480" w:lineRule="auto"/>
        <w:jc w:val="both"/>
        <w:rPr>
          <w:rFonts w:hint="eastAsia"/>
          <w:b w:val="0"/>
          <w:sz w:val="24"/>
        </w:rPr>
      </w:pPr>
      <w:r>
        <w:rPr>
          <w:rFonts w:hint="eastAsia"/>
          <w:b w:val="0"/>
          <w:sz w:val="24"/>
          <w:szCs w:val="24"/>
        </w:rPr>
        <w:t>报告人：</w:t>
      </w:r>
      <w:r>
        <w:rPr>
          <w:rFonts w:hint="eastAsia"/>
          <w:b w:val="0"/>
          <w:sz w:val="24"/>
        </w:rPr>
        <w:t xml:space="preserve">北京沃尔德斯水务科技有限公司  梁硕 工艺技术经理 </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上海世浦泰环保科技集团白海龙总工程师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刘道广 副总裁</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ascii="宋体" w:hAnsi="宋体" w:cs="宋体"/>
          <w:kern w:val="0"/>
          <w:sz w:val="24"/>
        </w:rPr>
        <w:t>谢小东</w:t>
      </w:r>
      <w:r>
        <w:rPr>
          <w:rFonts w:ascii="宋体" w:hAnsi="宋体"/>
          <w:sz w:val="24"/>
        </w:rPr>
        <w:t>技术</w:t>
      </w:r>
      <w:r>
        <w:rPr>
          <w:rFonts w:hint="eastAsia" w:ascii="宋体" w:hAnsi="宋体"/>
          <w:sz w:val="24"/>
        </w:rPr>
        <w:t>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深圳市清泉水业股份有限公司叶昌明董事长/高级工程师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广东芬尼克兹节能设备有限公司 易毅 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 xml:space="preserve">美国科氏滤膜系统有限公司 汪杰大中华区域经理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中国市政工程中南设计研究总院有限公司万年红副总工兼研究院院长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GmbH李树青项目经理/总经理助理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t>霍槐槐 董事长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2014年3月-2015年4月 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 xml:space="preserve"> </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swiss"/>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2020-09-22T07:56:46Z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